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Odniesienie IBE do uwag MFiPR, 4.10.2023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Odniesienie ogólne: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i w:val="1"/>
          <w:sz w:val="22"/>
          <w:szCs w:val="22"/>
          <w:rtl w:val="0"/>
        </w:rPr>
        <w:t xml:space="preserve">Opis Założeń Projektu Informatycznego dla projektu “Prowadzenie i rozwój Zintegrowanego Rejestru Kwalifikacji jako narzędzia wspierającego uczenie się przez całe życie (ZRK3)” został przygotowany wg obowiązkowego wzoru elektronicznego formularza określonego uchwałą KRMC, zgodnie z instrukcją do tego formularza. Formularz ten ma swoją specyfikę (w tym określone wymagania i ograniczenia).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libri" w:cs="Calibri" w:eastAsia="Calibri" w:hAnsi="Calibri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39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55"/>
        <w:gridCol w:w="1560"/>
        <w:gridCol w:w="2130"/>
        <w:gridCol w:w="4155"/>
        <w:gridCol w:w="2145"/>
        <w:gridCol w:w="4845"/>
        <w:tblGridChange w:id="0">
          <w:tblGrid>
            <w:gridCol w:w="555"/>
            <w:gridCol w:w="1560"/>
            <w:gridCol w:w="2130"/>
            <w:gridCol w:w="4155"/>
            <w:gridCol w:w="2145"/>
            <w:gridCol w:w="4845"/>
          </w:tblGrid>
        </w:tblGridChange>
      </w:tblGrid>
      <w:tr>
        <w:trPr>
          <w:cantSplit w:val="0"/>
          <w:tblHeader w:val="0"/>
        </w:trPr>
        <w:tc>
          <w:tcPr>
            <w:gridSpan w:val="6"/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spacing w:after="120" w:before="120" w:line="276" w:lineRule="auto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1"/>
                <w:sz w:val="22"/>
                <w:szCs w:val="22"/>
                <w:rtl w:val="0"/>
              </w:rPr>
              <w:t xml:space="preserve">Nazwa dokumentu: Prowadzenie i rozwój Zintegrowanego Rejestru Kwalifikacji jako narzędzia wspierającego uczenie się przez całe życie (ZRK3)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[OPIS ZAŁOŻEŃ PROJEKTU INFORMATYCZNEGO]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Lp.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Organ wnoszący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Jednostka redakcyjna, do której wnoszone są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Treść uwagi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Propozycja zmian zapisu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Odniesienie do uwagi</w:t>
            </w:r>
          </w:p>
        </w:tc>
      </w:tr>
      <w:tr>
        <w:trPr>
          <w:cantSplit w:val="0"/>
          <w:trHeight w:val="1574.189453125000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Planowany okres</w:t>
            </w:r>
          </w:p>
          <w:p w:rsidR="00000000" w:rsidDel="00000000" w:rsidP="00000000" w:rsidRDefault="00000000" w:rsidRPr="00000000" w14:paraId="00000015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realizacji projektu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Zgodnie z przyjętym przez Komitet Monitorujący FERS Rocznym Planem Działania na 2023 (RPD 2023) projekt powinien rozpocząć się w październiku 2023 roku.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Poprawienie zapisów zgodnie z zapisami RPD 2023 lub wyjaśnienie rozbieżności.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19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Zgodnie z ustaleniami z Instytucją Pośredniczącą - MEiN, Departament Funduszy Europejskich, rozpoczęcie projektu jest przesunięte na 1.11.2023 r. Wynika to z faktu, że czas trwania projektu ZRK2, którego kontynuacją jest projekt ZRK3, został wydłużony o 1 miesiąc (do końca października 2023 r.).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B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 Identyfikacja problemu i potrzeb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wymienić narzędzia cyfrowe powiązane z rejestrem, a nie jedynie opisać ich funkcjonalności. Należy także wskazać jakie modyfikacje/ wdrożenia są planowane w odniesieniu do poszczególnych narzędzi. Pozwoli to lepiej zrozumieć zakres realizowanego projektu.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Uzupełnienie zapisów o wskazanie narzędzi cyfrowych powiązanych z rejestrem.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Wyjaśnienie/uwzględniono.</w:t>
            </w:r>
          </w:p>
          <w:p w:rsidR="00000000" w:rsidDel="00000000" w:rsidP="00000000" w:rsidRDefault="00000000" w:rsidRPr="00000000" w14:paraId="00000021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Pole 1.1. zostało wypełnione zgodnie z instrukcją do obowiązującego w ramach KRMC wzoru elektronicznego formularza opisu założeń projektu, określonego uchwałą KRMC. Instrukcja wskazuje, że w pkt. 1.1. mają być opisane  problemy i potrzeb, na które odpowiada przedsięwzięcie. Pole to uniemożliwia rozszerzenie zawartego opisu, ponieważ ma ograniczoną liczbę znaków (ograniczenie techniczne). </w:t>
            </w:r>
          </w:p>
          <w:p w:rsidR="00000000" w:rsidDel="00000000" w:rsidP="00000000" w:rsidRDefault="00000000" w:rsidRPr="00000000" w14:paraId="00000023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związku z powyższym narzędzia te zostały wymienione w pkt. 2.1 OZPI, jako narzędzia prowadzące do uzyskania opisanych w 2.1. korzyści. Ponadto listę kamieni milowych w pkt. 3 uzupełniono o te narzędzia powiązane z ZRK, które spełniają cechy kamienia milowego.</w:t>
            </w:r>
          </w:p>
          <w:p w:rsidR="00000000" w:rsidDel="00000000" w:rsidP="00000000" w:rsidRDefault="00000000" w:rsidRPr="00000000" w14:paraId="00000024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 Identyfikacja problemu i potrzeb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RPD 2023 grupa docelowa projektu jest znacznie szersza aniżeli wskazana w dokumencie.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rozszerzyć opis o grupy docelowe wskazane w RPD 2023.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2B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Dokument opisuje założenia projektu ZRK3, w związku z tym nie jest opisem szczegółowym. Skupia się na kierunkowych kwestiach od strony informatycznej, zgodnie z logiką wzoru formularza KRMC. W pkt.  1.1. wymieniono więc interesariuszy najistotniejszych z perspektywy rozwiązań informatycznych planowanych w projekcie.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 Identyfikacja problemu i potrzeb – tabela wiersz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kolumnie 2 wskazano na „Brak wystandaryzowanego sposobu</w:t>
            </w:r>
          </w:p>
          <w:p w:rsidR="00000000" w:rsidDel="00000000" w:rsidP="00000000" w:rsidRDefault="00000000" w:rsidRPr="00000000" w14:paraId="00000031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ewidencjonowania i prezentowania informacji o kwalifikacjach nadawanych w Polsce. 2. Brak jednego źródła danych o możliwych do zdobycia w Polsce kwalifikacjach odniesionych w Polskiej Ramy Kwalifikacji, integrującego kwalifikacje z różnych obszarów</w:t>
            </w:r>
          </w:p>
          <w:p w:rsidR="00000000" w:rsidDel="00000000" w:rsidP="00000000" w:rsidRDefault="00000000" w:rsidRPr="00000000" w14:paraId="00000032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(kwalifikacje z systemów oświaty i szkolnictwa wyższego, kwalifikacje</w:t>
            </w:r>
          </w:p>
          <w:p w:rsidR="00000000" w:rsidDel="00000000" w:rsidP="00000000" w:rsidRDefault="00000000" w:rsidRPr="00000000" w14:paraId="0000003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uregulowane, rzemieślnicze, rynkowe) i kwalifikacje z różnych branż. 3. Brak jednego wiarygodnego źródła danych o instytucjach nadających kwalifikacje włączone do ZSK.’’ Trudno się z tym zgodzić. Takim systemem jest ZSK i powiązany z nim ZRK.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Doprecyzowanie zapisów, tak aby nie wprowadzać czytelników w błąd co do sytuacji, w jakiej jesteśmy w zakresie ZSK i ZRK.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Uwzględniono.</w:t>
            </w:r>
          </w:p>
          <w:p w:rsidR="00000000" w:rsidDel="00000000" w:rsidP="00000000" w:rsidRDefault="00000000" w:rsidRPr="00000000" w14:paraId="00000036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Dokonano korekty zapisów w przywołanych punktach: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2"/>
                <w:szCs w:val="22"/>
                <w:rtl w:val="0"/>
              </w:rPr>
              <w:t xml:space="preserve">Potrzeba z</w:t>
            </w:r>
            <w:r w:rsidDel="00000000" w:rsidR="00000000" w:rsidRPr="00000000">
              <w:rPr>
                <w:rFonts w:ascii="Calibri" w:cs="Calibri" w:eastAsia="Calibri" w:hAnsi="Calibri"/>
                <w:color w:val="0000ff"/>
                <w:sz w:val="22"/>
                <w:szCs w:val="22"/>
                <w:rtl w:val="0"/>
              </w:rPr>
              <w:t xml:space="preserve">apewnienia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wystandaryzowanego sposobu ewidencjonowania i prezentowania informacji o kwalifikacjach nadawanych w Polsce.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2"/>
                <w:szCs w:val="22"/>
                <w:rtl w:val="0"/>
              </w:rPr>
              <w:t xml:space="preserve">Potrzeba zapewnienia stałego dostępu do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jednego wiarygodnego źródła danych o możliwych do zdobycia w Polsce kwalifikacjach odniesionych w Polskiej Ramy Kwalifikacji, integrującego kwalifikacje z różnych obszarów (kwalifikacje z systemów oświaty i szkolnictwa wyższego, kwalifikacje uregulowane, rzemieślnicze, rynkowe) i kwalifikacje z różnych branż.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2"/>
                <w:szCs w:val="22"/>
                <w:rtl w:val="0"/>
              </w:rPr>
              <w:t xml:space="preserve">Potrzeba zapewnienia stałego dostępu do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jednego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wiarygodnego źródła danych o instytucjach nadających kwalifikacje włączone do ZSK.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 Identyfikacja problemu i potrzeb – tabela wiersz 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Przedsiębiorcy mają dwojaką funkcję w systemie ZRK. Z jednej strony są obiorcami informacji, z drugiej strony mogą zgłaszać kwalifikacje. W kolumnie 2 zastosowano duży skrót myślowy prezentując te dwa aspekty.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rozdzielić funkcje jakie w systemie ZRK pełnią przedsiębiorcy i odpowiednio uzupełnić informacji o zidentyfikowanych problemach w odniesieniu do tych funkcji.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Wyjaśnienie/wprowadzono korektę.</w:t>
            </w:r>
          </w:p>
          <w:p w:rsidR="00000000" w:rsidDel="00000000" w:rsidP="00000000" w:rsidRDefault="00000000" w:rsidRPr="00000000" w14:paraId="00000041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tym miejscu słowo “przedsiębiorcy” ma jedynie dookreślić status wymagany od podmiotów uprawnionych do składania wniosków o włączenie kwalifikacji rynkowych do ZSK oraz o nadanie uprawnień do ich certyfikowania, określony w ustawie o Zintegrowanym Systemie Kwalifikacji. Zgodnie z logiką elektronicznego formularza dodanie słowa “przedsiębiorcy” było potrzebne, aby określić typ, zakres i poziom dojrzałości usługi w pkt. 2.2. (A2B) (wymóg techniczny). Intencją nie było opisywanie “przedsiębiorców” jako takich, jako interesariuszy.</w:t>
            </w:r>
          </w:p>
          <w:p w:rsidR="00000000" w:rsidDel="00000000" w:rsidP="00000000" w:rsidRDefault="00000000" w:rsidRPr="00000000" w14:paraId="00000043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Dokonano korekty zapisu przenosząc słowo “przedsiębiorcy” do nawiasu na koniec zdania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45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7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1.1 Identyfikacja problemu i potrzeb – tabela wiersz 5 i 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doprecyzować, że interesariuszami nie są same szkoły/służby zatrudnienia, a osoby świadczące doradztwo zawodowe dla uczniów i uczennic/osoby dorosłe.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B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4C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tym punkcie chodziło o wskazanie instytucjonalnego interesariusza jakim są szkoły i placówki systemu oświaty, realizujące m.in. zadania z zakresu doradztwa edukacyjno-zawodowego. </w:t>
            </w:r>
          </w:p>
          <w:p w:rsidR="00000000" w:rsidDel="00000000" w:rsidP="00000000" w:rsidRDefault="00000000" w:rsidRPr="00000000" w14:paraId="0000004E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Uczniowie, rodzice i opiekunowie są wskazani w osobnym wierszu, jako odrębni interesariusze, zaś osoby dorosłe są uwzględnione w kolejnym wierszu, w odrębnej grupie interesariuszy.</w:t>
            </w:r>
          </w:p>
          <w:p w:rsidR="00000000" w:rsidDel="00000000" w:rsidP="00000000" w:rsidRDefault="00000000" w:rsidRPr="00000000" w14:paraId="0000004F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1 Identyfikacja problemu i potrzeb – tabela wiersz 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skorygować liczbę dot. rady Programowej i Rad Sektorowych ds. Kompetencji. W FERS finansowane będzie funkcjonowanie 1 Rady Programowej i 27 Rad Sektorowych.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56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formularzu szacowana wielkość grupy interesariuszy ma odnosić się do stanu obecnego (wtedy, gdy opiniowane są założenia projektu). Nie jest projekcją przyszłości. </w:t>
            </w:r>
          </w:p>
          <w:p w:rsidR="00000000" w:rsidDel="00000000" w:rsidP="00000000" w:rsidRDefault="00000000" w:rsidRPr="00000000" w14:paraId="00000058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Niezależnie od tego, każda nowo powstająca w trakcie trwania projektu Sektorowa Rada ds. Kompetencji, będzie uwzględniana jako interesariusz. </w:t>
            </w:r>
          </w:p>
          <w:p w:rsidR="00000000" w:rsidDel="00000000" w:rsidP="00000000" w:rsidRDefault="00000000" w:rsidRPr="00000000" w14:paraId="00000059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8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2.1 Cel strategiczny (1 i 2)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dokumencie nie wskazano celu strategicznego projektu, a jedynie powiązanie projektu ze strategiami i programami krajowymi.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przedstawić cel strategiczny projektu, a nie tylko w jaki sposób ZRK jest uwzględniony w krajowych strategiach i programach.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61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Pola “Cel - 1, Cel - 2” oraz “Cel strategiczny” zostały wypełnione zgodnie z instrukcją.</w:t>
            </w:r>
          </w:p>
          <w:p w:rsidR="00000000" w:rsidDel="00000000" w:rsidP="00000000" w:rsidRDefault="00000000" w:rsidRPr="00000000" w14:paraId="00000063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Cel strategiczny został sformułowany w polu “Cel - 1” i jest zgodny z celem wskazanym w fiszce projektu ZRK3 w Rocznym Planie Działania na 2023 r. przyjętym przez Komitet Monitorujący FERS (“... zwiększenie użyteczności oraz  rozpoznawalności ZRK jako narzędzia wspierającego realizację polityki uczenia się przez całe życie oraz funkcjonowanie ZSK”).</w:t>
            </w:r>
          </w:p>
          <w:p w:rsidR="00000000" w:rsidDel="00000000" w:rsidP="00000000" w:rsidRDefault="00000000" w:rsidRPr="00000000" w14:paraId="00000064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Dodatkowo w OZPI dla projektu ZRK3 sformułowano Cel -2, który ogniskuje uwagę na informatycznym charakterze działań zaplanowanych w projekcie. </w:t>
            </w:r>
          </w:p>
          <w:p w:rsidR="00000000" w:rsidDel="00000000" w:rsidP="00000000" w:rsidRDefault="00000000" w:rsidRPr="00000000" w14:paraId="00000065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Pole “Cel strategiczny” zostało wypełnione zgodnie z instrukcją do formularza - wskazano w nim, w realizację jakich celów strategicznych określonych w strategiach rozwoju, programach rozwoju lub innych dokumentach strategicznych rządu, wpisuje się projekt.</w:t>
            </w:r>
          </w:p>
          <w:p w:rsidR="00000000" w:rsidDel="00000000" w:rsidP="00000000" w:rsidRDefault="00000000" w:rsidRPr="00000000" w14:paraId="00000067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2.1 Korzyści (dla celu 1 i 2)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dokumencie pojawiają się przykłady narzędzi powiązanych z ZRK. Tymczasem wnioskodawca powinien precyzyjnie określić jakie instrumenty planuje stworzyć/rozwijać w projekcie.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doprecyzować zapisy dotyczące narzędzi cyfrowych powiązanych z ZRK.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Uwzględniono.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Opisane korzyści powiązano z narzędziami cyfrowymi powiązanymi z ZRK umożliwiającymi  uzyskanie tych korzyści - opis uzupełniono o listę narzędzi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70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2.1 KPI (dla celu 1 i 2)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Biorąc pod uwagę budżet projektu, KPI-e powinny być bardziej precyzyjne i lepiej odnosić się do zakresu planowanych działań. Dodatkowo, w odniesieniu do 1. wskaźnika celu 1 „Liczba użytkowników korzystających ze Zintegrowanego Rejestru Kwalifikacji’’, w RPD 2023 zaplanowana wartość do osiągnięcia to 115 tys., tymczasem z dokumentu wynika, że do osiągnięcia jest 37 tys. użytkowników.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Należy doprecyzować KPI-e i poprawić wartość wskaźnika nr 1 (w celu 1).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Wyjaśnienie/ wprowadzono korektę</w:t>
            </w:r>
          </w:p>
          <w:p w:rsidR="00000000" w:rsidDel="00000000" w:rsidP="00000000" w:rsidRDefault="00000000" w:rsidRPr="00000000" w14:paraId="00000077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Zgodnie z instrukcją, w przypadku projektów współfinansowanych ze środków UE w ramach programów operacyjnych, należy wykazać wskaźniki obowiązujące dla danego programu. W RPD 2023 dla projektu ZRK3 zostały przyjęte dwa wskaźniki: “Liczba użytkowników korzystających ze Zintegrowanego Rejestru Kwalifikacji” oraz “Liczba udoskonalonych Zintegrowanych Rejestrów Kwalifikacji”. Oba te wskaźniki w dosłownym brzmieniu, w tym także ich wartości, zostały przeniesione do KPI.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KPI zawarto także dodatkowe wskaźniki odpowiadające specyfice opisu założeń projektu informatycznego. </w:t>
            </w:r>
          </w:p>
          <w:p w:rsidR="00000000" w:rsidDel="00000000" w:rsidP="00000000" w:rsidRDefault="00000000" w:rsidRPr="00000000" w14:paraId="00000079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Skorygowano wartość aktualną wskaźnika “Liczba użytkowników korzystających ze Zintegrowanego Rejestru Kwalifikacji’’ z 78 000 na 0.</w:t>
            </w:r>
          </w:p>
          <w:p w:rsidR="00000000" w:rsidDel="00000000" w:rsidP="00000000" w:rsidRDefault="00000000" w:rsidRPr="00000000" w14:paraId="0000007B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2.2 Udostępnione e-usługi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Proszę o potwierdzenie, że narzędzia cyfrowe powiązane z ZRK nie będą generować e-usług.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82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Zakłada się, że zgodnie z obecnym stanem j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edyne e-usługi generowane przez narzędzia cyfrowe powiązane z ZRK zostały wymienione w pkt. 2.2.</w:t>
            </w:r>
          </w:p>
          <w:p w:rsidR="00000000" w:rsidDel="00000000" w:rsidP="00000000" w:rsidRDefault="00000000" w:rsidRPr="00000000" w14:paraId="00000084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12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2.3. Udostępnione informacje sektora publicznego i</w:t>
            </w:r>
          </w:p>
          <w:p w:rsidR="00000000" w:rsidDel="00000000" w:rsidP="00000000" w:rsidRDefault="00000000" w:rsidRPr="00000000" w14:paraId="00000088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zdigitalizowane zasoby – wiersz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9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Informacje o kwalifikacjach włączonych do ZSK oraz podmiotach są publikowane na bieżąco, tak więc przedstawiony termin 06/2026 nie jest adekwatny.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Proszę o korektę zapisów, zgodnie ze stanem faktycznym.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B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8C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Lista kwalifikacji włączonych do ZSK oraz podmiotach powiązanych z kwalifikacjami zmienia się i jest aktualizowana na bieżąco. Formularz elektroniczny OZPI jednak nie umożliwia wpisania słów w tym polu (np. “udostępniane na bieżąco”), można było w nim jedynie wybrać datę ze zdefiniowanego kalendarza (ograniczenie techniczne). W związku z tym, że udostępnianie będzie miało miejsce przez cały okres trwania projektu, wpisano datę 06/2026.</w:t>
            </w:r>
          </w:p>
          <w:p w:rsidR="00000000" w:rsidDel="00000000" w:rsidP="00000000" w:rsidRDefault="00000000" w:rsidRPr="00000000" w14:paraId="0000008E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2.4 Produkty końcowe projektu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Materiały promocyjno-informacyjne służyć mają upowszechnianiu, dlatego czas ich wdrożenia powinien być odpowiednio wcześnie wskazany.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Proszę o korektę daty wdrożenia materiałów promocyjno-informacyjnych.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95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Pakiety materiałów promocyjno-informacyjnych będą uzupełniane i aktualizowane sukcesywnie przez cały okres trwania projektu, w odpowiedzi na identyfikowane na bieżąco potrzeby użytkowników rejestru. Dlatego też rozliczenie ich jako kompletnych pakietów jest możliwe na koniec projektu. </w:t>
            </w:r>
          </w:p>
          <w:p w:rsidR="00000000" w:rsidDel="00000000" w:rsidP="00000000" w:rsidRDefault="00000000" w:rsidRPr="00000000" w14:paraId="00000097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9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2.4 Produkty końcowe projektu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B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RPD 2023 nie przewidziano szkoleń dla personelu projektu – proszę o wyjaśnienie.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9E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 związku z dużą dynamiką zmian w obszarze technologii wykorzystywanych w projekcie, konieczne jest stałe podnoszenie kompetencji pracowników IT. Poziom ogólności RPD nie obejmuje kwestii tak szczegółowych, jak szkolenia dla personelu projektu. Szkolenia te będą opisane we wniosku o dofinansowanie projektu (WoP).</w:t>
            </w:r>
          </w:p>
          <w:p w:rsidR="00000000" w:rsidDel="00000000" w:rsidP="00000000" w:rsidRDefault="00000000" w:rsidRPr="00000000" w14:paraId="000000A0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1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15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2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2.4 Produkty końcowe projektu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Lista produktów końcowych powinna uwzględniać także narzędzia cyfrowe powiązane z ZRK.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Uzupełnienie listy produktów końcowych.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A7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 informatycznego punktu p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roduktem projektu jest System ZRK, a narzędzia cyfrowe powiązane z ZRK są jego składową.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Takie ujęcie listy produktów zostało uzgodnione z Radą Architektury IT.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A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B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C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 Kamienie milowe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D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Proszę o potwierdzenie, że kamienie milowe uwzględniają wszystkie narzędzia cyfrowe powiązane z ZRK.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E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Wyjaśnienie/uzupełniono</w:t>
            </w:r>
          </w:p>
          <w:p w:rsidR="00000000" w:rsidDel="00000000" w:rsidP="00000000" w:rsidRDefault="00000000" w:rsidRPr="00000000" w14:paraId="000000B0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Narzędzia cyfrowe powiązane z ZRK stanowią pakiet rozwiązań wchodzących w skład systemu ZRK (w rozumieniu systemowych rozwiązań informatycznych). W kamieniach milowych dodano wszystkie narzędzia powiązane z ZRK, które spełniają cechy kamienia milowego.</w:t>
            </w:r>
          </w:p>
          <w:p w:rsidR="00000000" w:rsidDel="00000000" w:rsidP="00000000" w:rsidRDefault="00000000" w:rsidRPr="00000000" w14:paraId="000000B2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3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4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5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3. Kamienie milowe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6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Proszę wyjaśnić, dlaczego od momentu opracowania koncepcji modyfikacji kompasu szkolnictwa branżowego do czasu jego uruchomienia mija okres 2 lat. Jakie działanie będą realizowane w tym czasie.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7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Uzupełnienie informacji nt. kamieni milowych w zakresie kompasu szkolnictwa branżowego.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8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B9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Proces zmian w narzędziu informatycznym jest wieloetapowy, poszczególne prace są rozłożone w czasie. W tym okresie realizowane będą m.in. następujące działania: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identyfikowanie wymagań funkcjonalnych i niefunkcjonalnych planowanych zmian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zbieranie, oczyszczanie i przetwarzanie danych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trenowanie modeli AI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projektowanie konkretnych rozwiązań, funkcjonalności (nowych lub/i korygowanie istniejących)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prace programistyczne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konsultacje z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użytkownikami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testy bezpieczeństwa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testy WCAG</w:t>
            </w:r>
          </w:p>
          <w:p w:rsidR="00000000" w:rsidDel="00000000" w:rsidP="00000000" w:rsidRDefault="00000000" w:rsidRPr="00000000" w14:paraId="000000C3">
            <w:pPr>
              <w:numPr>
                <w:ilvl w:val="0"/>
                <w:numId w:val="2"/>
              </w:numPr>
              <w:spacing w:line="276" w:lineRule="auto"/>
              <w:ind w:left="720" w:hanging="360"/>
              <w:rPr>
                <w:rFonts w:ascii="Calibri" w:cs="Calibri" w:eastAsia="Calibri" w:hAnsi="Calibri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działania związane z przeniesieniem na produkcję.</w:t>
            </w:r>
          </w:p>
          <w:p w:rsidR="00000000" w:rsidDel="00000000" w:rsidP="00000000" w:rsidRDefault="00000000" w:rsidRPr="00000000" w14:paraId="000000C4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Dlatego też ostateczna wersja zmodyfikowanego kompasu szkolnictwa branżowego, uwzględniająca zmiany wprowadzane etapowo, jest możliwa do zaraportowania w lutym 2026.</w:t>
            </w:r>
          </w:p>
          <w:p w:rsidR="00000000" w:rsidDel="00000000" w:rsidP="00000000" w:rsidRDefault="00000000" w:rsidRPr="00000000" w14:paraId="000000C5">
            <w:pPr>
              <w:spacing w:line="276" w:lineRule="auto"/>
              <w:ind w:left="0" w:firstLine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sdt>
        <w:sdtPr>
          <w:tag w:val="goog_rdk_0"/>
        </w:sdtPr>
        <w:sdtContent>
          <w:tr>
            <w:trPr>
              <w:cantSplit w:val="0"/>
              <w:trHeight w:val="6779.433593750002" w:hRule="atLeast"/>
              <w:tblHeader w:val="0"/>
              <w:trPrChange w:author="Paulina Adamczyk" w:id="0" w:date="2023-10-04T09:29:02Z">
                <w:trPr>
                  <w:cantSplit w:val="0"/>
                  <w:tblHeader w:val="0"/>
                </w:trPr>
              </w:trPrChange>
            </w:trPr>
            <w:tc>
              <w:tcPr>
                <w:shd w:fill="auto" w:val="clear"/>
                <w:vAlign w:val="center"/>
                <w:tcPrChange w:author="Paulina Adamczyk" w:id="0" w:date="2023-10-04T09:29:02Z">
                  <w:tcPr>
                    <w:shd w:fill="auto" w:val="clear"/>
                    <w:vAlign w:val="center"/>
                  </w:tcPr>
                </w:tcPrChange>
              </w:tcPr>
              <w:p w:rsidR="00000000" w:rsidDel="00000000" w:rsidP="00000000" w:rsidRDefault="00000000" w:rsidRPr="00000000" w14:paraId="000000C6">
                <w:pPr>
                  <w:spacing w:after="120" w:before="120" w:line="276" w:lineRule="auto"/>
                  <w:jc w:val="center"/>
                  <w:rPr>
                    <w:rFonts w:ascii="Calibri" w:cs="Calibri" w:eastAsia="Calibri" w:hAnsi="Calibri"/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2"/>
                    <w:szCs w:val="22"/>
                    <w:rtl w:val="0"/>
                  </w:rPr>
                  <w:t xml:space="preserve">18</w:t>
                </w:r>
              </w:p>
            </w:tc>
            <w:tc>
              <w:tcPr>
                <w:shd w:fill="auto" w:val="clear"/>
                <w:vAlign w:val="center"/>
                <w:tcPrChange w:author="Paulina Adamczyk" w:id="0" w:date="2023-10-04T09:29:02Z">
                  <w:tcPr>
                    <w:shd w:fill="auto" w:val="clear"/>
                    <w:vAlign w:val="center"/>
                  </w:tcPr>
                </w:tcPrChange>
              </w:tcPr>
              <w:p w:rsidR="00000000" w:rsidDel="00000000" w:rsidP="00000000" w:rsidRDefault="00000000" w:rsidRPr="00000000" w14:paraId="000000C7">
                <w:pPr>
                  <w:spacing w:after="60" w:before="60" w:line="276" w:lineRule="auto"/>
                  <w:jc w:val="center"/>
                  <w:rPr>
                    <w:rFonts w:ascii="Calibri" w:cs="Calibri" w:eastAsia="Calibri" w:hAnsi="Calibri"/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2"/>
                    <w:szCs w:val="22"/>
                    <w:rtl w:val="0"/>
                  </w:rPr>
                  <w:t xml:space="preserve">MFiPR/DZF</w:t>
                </w:r>
              </w:p>
            </w:tc>
            <w:tc>
              <w:tcPr>
                <w:shd w:fill="auto" w:val="clear"/>
                <w:vAlign w:val="center"/>
                <w:tcPrChange w:author="Paulina Adamczyk" w:id="0" w:date="2023-10-04T09:29:02Z">
                  <w:tcPr>
                    <w:shd w:fill="auto" w:val="clear"/>
                    <w:vAlign w:val="center"/>
                  </w:tcPr>
                </w:tcPrChange>
              </w:tcPr>
              <w:p w:rsidR="00000000" w:rsidDel="00000000" w:rsidP="00000000" w:rsidRDefault="00000000" w:rsidRPr="00000000" w14:paraId="000000C8">
                <w:pPr>
                  <w:spacing w:line="276" w:lineRule="auto"/>
                  <w:jc w:val="center"/>
                  <w:rPr>
                    <w:rFonts w:ascii="Calibri" w:cs="Calibri" w:eastAsia="Calibri" w:hAnsi="Calibri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4.1 Koszty ogólne</w:t>
                </w:r>
              </w:p>
            </w:tc>
            <w:tc>
              <w:tcPr>
                <w:shd w:fill="auto" w:val="clear"/>
                <w:vAlign w:val="center"/>
                <w:tcPrChange w:author="Paulina Adamczyk" w:id="0" w:date="2023-10-04T09:29:02Z">
                  <w:tcPr>
                    <w:shd w:fill="auto" w:val="clear"/>
                    <w:vAlign w:val="center"/>
                  </w:tcPr>
                </w:tcPrChange>
              </w:tcPr>
              <w:p w:rsidR="00000000" w:rsidDel="00000000" w:rsidP="00000000" w:rsidRDefault="00000000" w:rsidRPr="00000000" w14:paraId="000000C9">
                <w:pPr>
                  <w:spacing w:line="276" w:lineRule="auto"/>
                  <w:jc w:val="center"/>
                  <w:rPr>
                    <w:rFonts w:ascii="Calibri" w:cs="Calibri" w:eastAsia="Calibri" w:hAnsi="Calibri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Rozłożenie kosztów pomiędzy latami w dokumencie nie jest spójne z informacjami </w:t>
                </w: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przedstawionymi</w:t>
                </w: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 w RPD 2023.</w:t>
                </w: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vAlign w:val="center"/>
                <w:tcPrChange w:author="Paulina Adamczyk" w:id="0" w:date="2023-10-04T09:29:02Z">
                  <w:tcPr>
                    <w:shd w:fill="auto" w:val="clear"/>
                    <w:vAlign w:val="center"/>
                  </w:tcPr>
                </w:tcPrChange>
              </w:tcPr>
              <w:p w:rsidR="00000000" w:rsidDel="00000000" w:rsidP="00000000" w:rsidRDefault="00000000" w:rsidRPr="00000000" w14:paraId="000000CA">
                <w:pPr>
                  <w:spacing w:line="276" w:lineRule="auto"/>
                  <w:jc w:val="center"/>
                  <w:rPr>
                    <w:rFonts w:ascii="Calibri" w:cs="Calibri" w:eastAsia="Calibri" w:hAnsi="Calibri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Proszę o korektę lub wyjaśnienie.</w:t>
                </w:r>
              </w:p>
            </w:tc>
            <w:tc>
              <w:tcPr>
                <w:vAlign w:val="center"/>
                <w:tcPrChange w:author="Paulina Adamczyk" w:id="0" w:date="2023-10-04T09:29:02Z">
                  <w:tcPr>
                    <w:vAlign w:val="center"/>
                  </w:tcPr>
                </w:tcPrChange>
              </w:tcPr>
              <w:p w:rsidR="00000000" w:rsidDel="00000000" w:rsidP="00000000" w:rsidRDefault="00000000" w:rsidRPr="00000000" w14:paraId="000000CB">
                <w:pPr>
                  <w:spacing w:line="276" w:lineRule="auto"/>
                  <w:rPr>
                    <w:rFonts w:ascii="Calibri" w:cs="Calibri" w:eastAsia="Calibri" w:hAnsi="Calibri"/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2"/>
                    <w:szCs w:val="22"/>
                    <w:rtl w:val="0"/>
                  </w:rPr>
                  <w:t xml:space="preserve">Wyjaśnienie.</w:t>
                </w:r>
              </w:p>
              <w:p w:rsidR="00000000" w:rsidDel="00000000" w:rsidP="00000000" w:rsidRDefault="00000000" w:rsidRPr="00000000" w14:paraId="000000CC">
                <w:pPr>
                  <w:spacing w:line="276" w:lineRule="auto"/>
                  <w:rPr>
                    <w:rFonts w:ascii="Calibri" w:cs="Calibri" w:eastAsia="Calibri" w:hAnsi="Calibri"/>
                    <w:b w:val="1"/>
                    <w:sz w:val="22"/>
                    <w:szCs w:val="22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D">
                <w:pPr>
                  <w:spacing w:line="276" w:lineRule="auto"/>
                  <w:rPr>
                    <w:rFonts w:ascii="Calibri" w:cs="Calibri" w:eastAsia="Calibri" w:hAnsi="Calibri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W Rocznym Planie Działania na rok 2023, określona została </w:t>
                </w:r>
                <w:r w:rsidDel="00000000" w:rsidR="00000000" w:rsidRPr="00000000">
                  <w:rPr>
                    <w:rFonts w:ascii="Calibri" w:cs="Calibri" w:eastAsia="Calibri" w:hAnsi="Calibri"/>
                    <w:b w:val="1"/>
                    <w:sz w:val="22"/>
                    <w:szCs w:val="22"/>
                    <w:rtl w:val="0"/>
                  </w:rPr>
                  <w:t xml:space="preserve">szacowana kwota </w:t>
                </w: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wydatków w projekcie w podziale na lata. Łączna suma wynosi 25 mln zł kosztów ogółem. W toku dalszych prac nad przygotowywaniem wniosku o dofinansowanie projektu (WoD), p</w:t>
                </w:r>
                <w:r w:rsidDel="00000000" w:rsidR="00000000" w:rsidRPr="00000000">
                  <w:rPr>
                    <w:rFonts w:ascii="Calibri" w:cs="Calibri" w:eastAsia="Calibri" w:hAnsi="Calibri"/>
                    <w:sz w:val="22"/>
                    <w:szCs w:val="22"/>
                    <w:rtl w:val="0"/>
                  </w:rPr>
                  <w:t xml:space="preserve">odczas szczegółowej analizy niezbędnych działań wymaganych do realizacji projektu, dokonano koniecznych przesunięć środków między poszczególnymi latami, aby zapewnić najbardziej optymalne i efektywne ich wykorzystanie w projekcie. Główną zmianą wpływającą na różnice w kwotach między latami, jest rozpoczęcie realizacji projektu od 1.11.2023 r., a nie jak zakładano pierwotnie (jak jest w RPD) od 1.10.2023 r. Wyjaśnienie dotyczące zmiany terminu realizacji jest opisane w pkt 1.</w:t>
                </w:r>
              </w:p>
              <w:p w:rsidR="00000000" w:rsidDel="00000000" w:rsidP="00000000" w:rsidRDefault="00000000" w:rsidRPr="00000000" w14:paraId="000000CE">
                <w:pPr>
                  <w:spacing w:line="276" w:lineRule="auto"/>
                  <w:rPr>
                    <w:rFonts w:ascii="Calibri" w:cs="Calibri" w:eastAsia="Calibri" w:hAnsi="Calibri"/>
                    <w:sz w:val="22"/>
                    <w:szCs w:val="22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  <w:p w:rsidR="00000000" w:rsidDel="00000000" w:rsidP="00000000" w:rsidRDefault="00000000" w:rsidRPr="00000000" w14:paraId="000000CF">
                <w:pPr>
                  <w:spacing w:line="276" w:lineRule="auto"/>
                  <w:rPr>
                    <w:rFonts w:ascii="Calibri" w:cs="Calibri" w:eastAsia="Calibri" w:hAnsi="Calibri"/>
                    <w:i w:val="1"/>
                    <w:sz w:val="22"/>
                    <w:szCs w:val="22"/>
                  </w:rPr>
                </w:pPr>
                <w:r w:rsidDel="00000000" w:rsidR="00000000" w:rsidRPr="00000000">
                  <w:rPr>
                    <w:rFonts w:ascii="Calibri" w:cs="Calibri" w:eastAsia="Calibri" w:hAnsi="Calibri"/>
                    <w:i w:val="1"/>
                    <w:sz w:val="22"/>
                    <w:szCs w:val="22"/>
                    <w:rtl w:val="0"/>
                  </w:rPr>
                  <w:t xml:space="preserve">Zestawienie zmian kwot w poszczególnych latach pomiędzy RPD 2023 a OZPI znajduje się pod tabelą.</w:t>
                </w:r>
              </w:p>
              <w:p w:rsidR="00000000" w:rsidDel="00000000" w:rsidP="00000000" w:rsidRDefault="00000000" w:rsidRPr="00000000" w14:paraId="000000D0">
                <w:pPr>
                  <w:spacing w:line="276" w:lineRule="auto"/>
                  <w:rPr>
                    <w:rFonts w:ascii="Calibri" w:cs="Calibri" w:eastAsia="Calibri" w:hAnsi="Calibri"/>
                    <w:i w:val="1"/>
                    <w:sz w:val="22"/>
                    <w:szCs w:val="22"/>
                  </w:rPr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sdtContent>
      </w:sdt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1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19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2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3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4.2 Wykaz poszczególnych pozycji kosztowych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4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Szkolenia dla personelu nie zostały uwzględnione w RPD 2023. Proszę o wyjaśnienie, w jakim zakresie to działanie wpisuje się w projekt zaakceptowany przez KM FERS.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6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D7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8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Wyjaśnienie takie jak w pkt. 14.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9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20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A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B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7. Architektura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C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Proszę o uzupełnienie architektury o dane pochodzące z monitoringu karier absolwentów.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D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Uzupełnienie zapisów.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E">
            <w:pPr>
              <w:spacing w:line="276" w:lineRule="auto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DF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Obecnie projekt nie zakłada korzystania z danych z badania Losów absolwentów szkół ponadpodstawowych. System ZRK będzie natomiast korzystać z danych z systemu ELA - co jest uwzględnione na schemacie Architektury. </w:t>
            </w:r>
          </w:p>
          <w:p w:rsidR="00000000" w:rsidDel="00000000" w:rsidP="00000000" w:rsidRDefault="00000000" w:rsidRPr="00000000" w14:paraId="000000E1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Natomiast w ramach potencjalnych kierunków rozwoju rejestru, w projekcie będzie analizowana możliwość wykorzystania danych gromadzonych w ramach badania Losów absolwentów szkół ponadpodstawowych, jako danych kontekstowych przydatnych użytkownikom ZRK.</w:t>
            </w:r>
          </w:p>
          <w:p w:rsidR="00000000" w:rsidDel="00000000" w:rsidP="00000000" w:rsidRDefault="00000000" w:rsidRPr="00000000" w14:paraId="000000E3">
            <w:pPr>
              <w:spacing w:line="276" w:lineRule="auto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4">
            <w:pPr>
              <w:spacing w:after="120" w:before="12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5">
            <w:pPr>
              <w:spacing w:after="60" w:before="60" w:line="276" w:lineRule="auto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MFiPR/DZF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6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7. Architektura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7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Proszę o informację w jaki sposób system ZRK będzie powiązany z edukacja.gov.pl.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8">
            <w:pPr>
              <w:spacing w:line="276" w:lineRule="auto"/>
              <w:jc w:val="center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spacing w:line="276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Wyjaśnienie.</w:t>
            </w:r>
          </w:p>
          <w:p w:rsidR="00000000" w:rsidDel="00000000" w:rsidP="00000000" w:rsidRDefault="00000000" w:rsidRPr="00000000" w14:paraId="000000EA">
            <w:pPr>
              <w:spacing w:line="276" w:lineRule="auto"/>
              <w:jc w:val="lef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line="276" w:lineRule="auto"/>
              <w:jc w:val="lef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ZRK jako systemowe źródło wiarygodnych danych o kwalifikacjach możliwych do zdobycia w ramach edukacji formalnej, pozaformalnej i nieformalnego uczenia się, jest wskazywany jako jedno z referencyjnych źródeł danych dla portalu  edukacja.gov.pl. 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Ze strony systemu ZRK będzie możliwość udostępniania narzędzi ZRK na portalu edukacja.gov.pl. Ostateczne rozwiązania będą przedmiotem ustalenia w ramach obu przedsięwzięć i będą zależne też od rozwiązań wypracowanych w zakresie funkcjonowania edukacja.gov.pl</w:t>
            </w: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0EC">
      <w:pPr>
        <w:spacing w:after="288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spacing w:after="0" w:line="276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Zestawienie dotyczące zmian w podziale budżetu na poszczególne lata </w:t>
      </w:r>
    </w:p>
    <w:tbl>
      <w:tblPr>
        <w:tblStyle w:val="Table2"/>
        <w:tblW w:w="579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590"/>
        <w:gridCol w:w="2205"/>
        <w:gridCol w:w="1995"/>
        <w:tblGridChange w:id="0">
          <w:tblGrid>
            <w:gridCol w:w="1590"/>
            <w:gridCol w:w="2205"/>
            <w:gridCol w:w="1995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rok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RPD</w:t>
            </w:r>
          </w:p>
        </w:tc>
        <w:tc>
          <w:tcPr>
            <w:tcBorders>
              <w:top w:color="000000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d9d9d9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F0">
            <w:pPr>
              <w:widowControl w:val="0"/>
              <w:spacing w:line="276" w:lineRule="auto"/>
              <w:jc w:val="center"/>
              <w:rPr>
                <w:rFonts w:ascii="Calibri" w:cs="Calibri" w:eastAsia="Calibri" w:hAnsi="Calibri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OZPI</w:t>
            </w:r>
          </w:p>
        </w:tc>
      </w:tr>
      <w:tr>
        <w:trPr>
          <w:cantSplit w:val="0"/>
          <w:trHeight w:val="252.68554687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2023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2 272 727,00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1 224 306,24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2024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9 090 909,00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9 500 761,93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9 090 909,00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9 886 273,73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0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2026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4 545 455,00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widowControl w:val="0"/>
              <w:spacing w:line="276" w:lineRule="auto"/>
              <w:jc w:val="right"/>
              <w:rPr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sz w:val="18"/>
                <w:szCs w:val="18"/>
                <w:rtl w:val="0"/>
              </w:rPr>
              <w:t xml:space="preserve">4 388 658,10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.685546875" w:hRule="atLeast"/>
          <w:tblHeader w:val="0"/>
        </w:trPr>
        <w:tc>
          <w:tcPr>
            <w:tcBorders>
              <w:top w:color="cccccc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widowControl w:val="0"/>
              <w:spacing w:line="276" w:lineRule="auto"/>
              <w:jc w:val="righ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suma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widowControl w:val="0"/>
              <w:spacing w:line="276" w:lineRule="auto"/>
              <w:jc w:val="righ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25 000 000,00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widowControl w:val="0"/>
              <w:spacing w:line="276" w:lineRule="auto"/>
              <w:jc w:val="right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18"/>
                <w:szCs w:val="18"/>
                <w:rtl w:val="0"/>
              </w:rPr>
              <w:t xml:space="preserve">25 000 000,00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spacing w:after="288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1">
      <w:pPr>
        <w:spacing w:after="288" w:line="276" w:lineRule="auto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default"/>
      <w:footerReference r:id="rId9" w:type="first"/>
      <w:footerReference r:id="rId10" w:type="even"/>
      <w:pgSz w:h="11906" w:w="16838" w:orient="landscape"/>
      <w:pgMar w:bottom="1985" w:top="1985" w:left="851" w:right="851" w:header="851" w:footer="22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3"/>
      <w:tblW w:w="7958.0" w:type="dxa"/>
      <w:jc w:val="left"/>
      <w:tblBorders>
        <w:top w:color="000000" w:space="0" w:sz="4" w:val="single"/>
        <w:left w:color="000000" w:space="0" w:sz="0" w:val="nil"/>
        <w:bottom w:color="000000" w:space="0" w:sz="0" w:val="nil"/>
        <w:right w:color="000000" w:space="0" w:sz="0" w:val="nil"/>
        <w:insideH w:color="000000" w:space="0" w:sz="4" w:val="single"/>
        <w:insideV w:color="000000" w:space="0" w:sz="0" w:val="nil"/>
      </w:tblBorders>
      <w:tblLayout w:type="fixed"/>
      <w:tblLook w:val="0400"/>
    </w:tblPr>
    <w:tblGrid>
      <w:gridCol w:w="4689"/>
      <w:gridCol w:w="3269"/>
      <w:tblGridChange w:id="0">
        <w:tblGrid>
          <w:gridCol w:w="4689"/>
          <w:gridCol w:w="3269"/>
        </w:tblGrid>
      </w:tblGridChange>
    </w:tblGrid>
    <w:tr>
      <w:trPr>
        <w:cantSplit w:val="0"/>
        <w:tblHeader w:val="0"/>
      </w:trPr>
      <w:tc>
        <w:tcPr>
          <w:tcMar>
            <w:top w:w="113.0" w:type="dxa"/>
            <w:left w:w="0.0" w:type="dxa"/>
            <w:right w:w="0.0" w:type="dxa"/>
          </w:tcMar>
        </w:tcPr>
        <w:p w:rsidR="00000000" w:rsidDel="00000000" w:rsidP="00000000" w:rsidRDefault="00000000" w:rsidRPr="00000000" w14:paraId="00000107">
          <w:pPr>
            <w:rPr>
              <w:rFonts w:ascii="Calibri" w:cs="Calibri" w:eastAsia="Calibri" w:hAnsi="Calibri"/>
              <w:sz w:val="20"/>
              <w:szCs w:val="20"/>
            </w:rPr>
          </w:pPr>
          <w:r w:rsidDel="00000000" w:rsidR="00000000" w:rsidRPr="00000000">
            <w:rPr>
              <w:rFonts w:ascii="Calibri" w:cs="Calibri" w:eastAsia="Calibri" w:hAnsi="Calibri"/>
              <w:sz w:val="20"/>
              <w:szCs w:val="20"/>
              <w:rtl w:val="0"/>
            </w:rPr>
            <w:t xml:space="preserve">tel. 22 273 84 00</w:t>
            <w:br w:type="textWrapping"/>
            <w:t xml:space="preserve">fax 22 273 89 47</w:t>
            <w:br w:type="textWrapping"/>
          </w:r>
          <w:hyperlink r:id="rId1"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u w:val="none"/>
                <w:rtl w:val="0"/>
              </w:rPr>
              <w:t xml:space="preserve">www.gov.pl/web/fundusze-regiony</w:t>
            </w:r>
          </w:hyperlink>
          <w:r w:rsidDel="00000000" w:rsidR="00000000" w:rsidRPr="00000000">
            <w:rPr>
              <w:rFonts w:ascii="Calibri" w:cs="Calibri" w:eastAsia="Calibri" w:hAnsi="Calibri"/>
              <w:sz w:val="20"/>
              <w:szCs w:val="20"/>
              <w:rtl w:val="0"/>
            </w:rPr>
            <w:br w:type="textWrapping"/>
          </w:r>
          <w:hyperlink r:id="rId2">
            <w:r w:rsidDel="00000000" w:rsidR="00000000" w:rsidRPr="00000000">
              <w:rPr>
                <w:rFonts w:ascii="Calibri" w:cs="Calibri" w:eastAsia="Calibri" w:hAnsi="Calibri"/>
                <w:color w:val="000000"/>
                <w:sz w:val="20"/>
                <w:szCs w:val="20"/>
                <w:u w:val="none"/>
                <w:rtl w:val="0"/>
              </w:rPr>
              <w:t xml:space="preserve">www.funduszeeuropejskie.gov.pl</w:t>
            </w:r>
          </w:hyperlink>
          <w:r w:rsidDel="00000000" w:rsidR="00000000" w:rsidRPr="00000000">
            <w:rPr>
              <w:rtl w:val="0"/>
            </w:rPr>
          </w:r>
        </w:p>
      </w:tc>
      <w:tc>
        <w:tcPr>
          <w:tcMar>
            <w:top w:w="113.0" w:type="dxa"/>
            <w:left w:w="0.0" w:type="dxa"/>
            <w:right w:w="0.0" w:type="dxa"/>
          </w:tcMar>
        </w:tcPr>
        <w:p w:rsidR="00000000" w:rsidDel="00000000" w:rsidP="00000000" w:rsidRDefault="00000000" w:rsidRPr="00000000" w14:paraId="00000108">
          <w:pPr>
            <w:ind w:left="1191" w:firstLine="0"/>
            <w:rPr>
              <w:rFonts w:ascii="Calibri" w:cs="Calibri" w:eastAsia="Calibri" w:hAnsi="Calibri"/>
              <w:sz w:val="20"/>
              <w:szCs w:val="20"/>
            </w:rPr>
          </w:pPr>
          <w:r w:rsidDel="00000000" w:rsidR="00000000" w:rsidRPr="00000000">
            <w:rPr>
              <w:rFonts w:ascii="Calibri" w:cs="Calibri" w:eastAsia="Calibri" w:hAnsi="Calibri"/>
              <w:sz w:val="20"/>
              <w:szCs w:val="20"/>
              <w:rtl w:val="0"/>
            </w:rPr>
            <w:t xml:space="preserve">ul. Wspólna 2/4</w:t>
            <w:br w:type="textWrapping"/>
            <w:t xml:space="preserve">00-926 Warszawa</w:t>
          </w:r>
        </w:p>
      </w:tc>
    </w:tr>
  </w:tbl>
  <w:p w:rsidR="00000000" w:rsidDel="00000000" w:rsidP="00000000" w:rsidRDefault="00000000" w:rsidRPr="00000000" w14:paraId="00000109">
    <w:pPr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righ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B">
    <w:pPr>
      <w:tabs>
        <w:tab w:val="left" w:leader="none" w:pos="5812"/>
      </w:tabs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3686"/>
      </w:tabs>
      <w:spacing w:after="0" w:before="0" w:line="240" w:lineRule="auto"/>
      <w:ind w:left="-1157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3023062" cy="720000"/>
          <wp:effectExtent b="0" l="0" r="0" t="0"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  <w:tab w:val="left" w:leader="none" w:pos="3686"/>
      </w:tabs>
      <w:spacing w:after="0" w:before="220" w:line="240" w:lineRule="auto"/>
      <w:ind w:left="0" w:right="0" w:firstLine="0"/>
      <w:jc w:val="left"/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1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Sekretarz Stanu</w:t>
      <w:br w:type="textWrapping"/>
      <w:t xml:space="preserve">Małgorzata Jarosińska-Jedynak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480" w:lineRule="auto"/>
    </w:pPr>
    <w:rPr>
      <w:rFonts w:ascii="Calibri" w:cs="Calibri" w:eastAsia="Calibri" w:hAnsi="Calibri"/>
      <w:b w:val="1"/>
      <w:color w:val="2e75b5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 w:val="1"/>
    <w:rsid w:val="0011413C"/>
    <w:pPr>
      <w:keepNext w:val="1"/>
      <w:keepLines w:val="1"/>
      <w:spacing w:before="480"/>
      <w:outlineLvl w:val="0"/>
    </w:pPr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 w:val="1"/>
    <w:rsid w:val="0077374E"/>
    <w:pPr>
      <w:shd w:color="auto" w:fill="000080" w:val="clear"/>
    </w:pPr>
    <w:rPr>
      <w:rFonts w:ascii="Tahoma" w:cs="Tahoma" w:hAnsi="Tahoma"/>
      <w:sz w:val="20"/>
      <w:szCs w:val="20"/>
    </w:rPr>
  </w:style>
  <w:style w:type="paragraph" w:styleId="Tekstdymka">
    <w:name w:val="Balloon Text"/>
    <w:basedOn w:val="Normalny"/>
    <w:semiHidden w:val="1"/>
    <w:rsid w:val="00343996"/>
    <w:rPr>
      <w:rFonts w:ascii="Tahoma" w:cs="Tahoma" w:hAnsi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 w:val="1"/>
    <w:rsid w:val="00EF30F0"/>
    <w:rPr>
      <w:b w:val="1"/>
      <w:bCs w:val="1"/>
    </w:rPr>
  </w:style>
  <w:style w:type="table" w:styleId="Tabela-Siatka">
    <w:name w:val="Table Grid"/>
    <w:basedOn w:val="Standardowy"/>
    <w:rsid w:val="00463FAE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agwek1Znak" w:customStyle="1">
    <w:name w:val="Nagłówek 1 Znak"/>
    <w:basedOn w:val="Domylnaczcionkaakapitu"/>
    <w:link w:val="Nagwek1"/>
    <w:rsid w:val="0011413C"/>
    <w:rPr>
      <w:rFonts w:asciiTheme="majorHAnsi" w:cstheme="majorBidi" w:eastAsiaTheme="majorEastAsia" w:hAnsiTheme="majorHAnsi"/>
      <w:b w:val="1"/>
      <w:bCs w:val="1"/>
      <w:color w:val="2e74b5" w:themeColor="accent1" w:themeShade="0000BF"/>
      <w:sz w:val="28"/>
      <w:szCs w:val="28"/>
      <w:lang w:eastAsia="pl-PL" w:val="pl-PL"/>
    </w:rPr>
  </w:style>
  <w:style w:type="paragraph" w:styleId="Akapitzlist">
    <w:name w:val="List Paragraph"/>
    <w:basedOn w:val="Normalny"/>
    <w:uiPriority w:val="34"/>
    <w:qFormat w:val="1"/>
    <w:rsid w:val="00D11BFD"/>
    <w:pPr>
      <w:ind w:left="720"/>
      <w:contextualSpacing w:val="1"/>
    </w:pPr>
  </w:style>
  <w:style w:type="character" w:styleId="Hipercze">
    <w:name w:val="Hyperlink"/>
    <w:basedOn w:val="Domylnaczcionkaakapitu"/>
    <w:unhideWhenUsed w:val="1"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 w:val="1"/>
    <w:unhideWhenUsed w:val="1"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 w:val="1"/>
    <w:unhideWhenUsed w:val="1"/>
    <w:rsid w:val="002E4CEF"/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semiHidden w:val="1"/>
    <w:rsid w:val="002E4CEF"/>
    <w:rPr>
      <w:lang w:eastAsia="pl-PL" w:val="pl-PL"/>
    </w:rPr>
  </w:style>
  <w:style w:type="paragraph" w:styleId="Tematkomentarza">
    <w:name w:val="annotation subject"/>
    <w:basedOn w:val="Tekstkomentarza"/>
    <w:next w:val="Tekstkomentarza"/>
    <w:link w:val="TematkomentarzaZnak"/>
    <w:semiHidden w:val="1"/>
    <w:unhideWhenUsed w:val="1"/>
    <w:rsid w:val="002E4CEF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semiHidden w:val="1"/>
    <w:rsid w:val="002E4CEF"/>
    <w:rPr>
      <w:b w:val="1"/>
      <w:bCs w:val="1"/>
      <w:lang w:eastAsia="pl-PL" w:val="pl-PL"/>
    </w:rPr>
  </w:style>
  <w:style w:type="paragraph" w:styleId="Poprawka">
    <w:name w:val="Revision"/>
    <w:hidden w:val="1"/>
    <w:uiPriority w:val="99"/>
    <w:semiHidden w:val="1"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 w:val="1"/>
    <w:rsid w:val="00994165"/>
    <w:rPr>
      <w:color w:val="808080"/>
    </w:rPr>
  </w:style>
  <w:style w:type="character" w:styleId="StopkaZnak" w:customStyle="1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247DA2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3.xm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gov.pl/web/fundusze-regiony" TargetMode="External"/><Relationship Id="rId2" Type="http://schemas.openxmlformats.org/officeDocument/2006/relationships/hyperlink" Target="http://www.funduszeeuropejskie.gov.pl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4CivhbhPjMztavMbSvS3daPcuw==">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2023-10-03T16:07:00Z</dcterms:created>
  <dc:creator>Soon</dc:creator>
</cp:coreProperties>
</file>